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DD9D" w14:textId="77777777" w:rsidR="009E7E73" w:rsidRDefault="009E7E73" w:rsidP="00BF7C4A">
      <w:pPr>
        <w:spacing w:line="360" w:lineRule="auto"/>
        <w:jc w:val="center"/>
        <w:rPr>
          <w:rFonts w:cstheme="minorHAnsi"/>
          <w:b/>
          <w:i/>
          <w:sz w:val="24"/>
          <w:szCs w:val="24"/>
          <w:lang w:val="pt-PT"/>
        </w:rPr>
      </w:pPr>
      <w:r w:rsidRPr="009E7E73">
        <w:rPr>
          <w:rFonts w:cstheme="minorHAnsi"/>
          <w:b/>
          <w:i/>
          <w:sz w:val="24"/>
          <w:szCs w:val="24"/>
          <w:lang w:val="pt-PT"/>
        </w:rPr>
        <w:t>Relatora Especial das Nações Unidas para a eliminação da discriminação contra as pe</w:t>
      </w:r>
      <w:r>
        <w:rPr>
          <w:rFonts w:cstheme="minorHAnsi"/>
          <w:b/>
          <w:i/>
          <w:sz w:val="24"/>
          <w:szCs w:val="24"/>
          <w:lang w:val="pt-PT"/>
        </w:rPr>
        <w:t xml:space="preserve">ssoas </w:t>
      </w:r>
      <w:proofErr w:type="spellStart"/>
      <w:r>
        <w:rPr>
          <w:rFonts w:cstheme="minorHAnsi"/>
          <w:b/>
          <w:i/>
          <w:sz w:val="24"/>
          <w:szCs w:val="24"/>
          <w:lang w:val="pt-PT"/>
        </w:rPr>
        <w:t>afectadas</w:t>
      </w:r>
      <w:proofErr w:type="spellEnd"/>
      <w:r>
        <w:rPr>
          <w:rFonts w:cstheme="minorHAnsi"/>
          <w:b/>
          <w:i/>
          <w:sz w:val="24"/>
          <w:szCs w:val="24"/>
          <w:lang w:val="pt-PT"/>
        </w:rPr>
        <w:t xml:space="preserve"> pela hanseníase e membros das suas famílias, Alice Cruz</w:t>
      </w:r>
    </w:p>
    <w:p w14:paraId="10E16082" w14:textId="1EACC67D" w:rsidR="00BF7C4A" w:rsidRPr="00CD22AC" w:rsidRDefault="009E7E73" w:rsidP="00BF7C4A">
      <w:pPr>
        <w:spacing w:line="360" w:lineRule="auto"/>
        <w:ind w:left="1134" w:right="1134"/>
        <w:jc w:val="center"/>
        <w:rPr>
          <w:rFonts w:cstheme="minorHAnsi"/>
          <w:b/>
          <w:sz w:val="32"/>
          <w:szCs w:val="24"/>
          <w:lang w:val="pt-PT"/>
        </w:rPr>
      </w:pPr>
      <w:r w:rsidRPr="00CD22AC">
        <w:rPr>
          <w:rFonts w:cstheme="minorHAnsi"/>
          <w:b/>
          <w:sz w:val="32"/>
          <w:szCs w:val="24"/>
          <w:lang w:val="pt-PT"/>
        </w:rPr>
        <w:t>Questionário</w:t>
      </w:r>
    </w:p>
    <w:p w14:paraId="31400556" w14:textId="1559315E" w:rsidR="00BF7C4A" w:rsidRPr="00CD22AC" w:rsidRDefault="009E7E73" w:rsidP="00BF7C4A">
      <w:pPr>
        <w:spacing w:line="360" w:lineRule="auto"/>
        <w:ind w:left="1134" w:right="1134"/>
        <w:jc w:val="center"/>
        <w:rPr>
          <w:rFonts w:cstheme="minorHAnsi"/>
          <w:b/>
          <w:sz w:val="24"/>
          <w:szCs w:val="24"/>
          <w:lang w:val="pt-PT"/>
        </w:rPr>
      </w:pPr>
      <w:r w:rsidRPr="00CD22AC">
        <w:rPr>
          <w:rFonts w:cstheme="minorHAnsi"/>
          <w:b/>
          <w:sz w:val="24"/>
          <w:szCs w:val="24"/>
          <w:lang w:val="pt-PT"/>
        </w:rPr>
        <w:t xml:space="preserve">para o relatório temático ao Conselho de Direitos Humanos (50ª sessão, Junho 2022) </w:t>
      </w:r>
    </w:p>
    <w:p w14:paraId="5891B781" w14:textId="2961A0E1" w:rsidR="00CA4B4A" w:rsidRPr="00CA4B4A" w:rsidRDefault="00CA4B4A" w:rsidP="00CA4B4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160"/>
        <w:ind w:right="1134"/>
        <w:jc w:val="both"/>
        <w:rPr>
          <w:rFonts w:cstheme="minorHAnsi"/>
          <w:szCs w:val="24"/>
          <w:lang w:val="pt-PT"/>
        </w:rPr>
      </w:pPr>
      <w:r w:rsidRPr="00CA4B4A">
        <w:rPr>
          <w:rFonts w:cstheme="minorHAnsi"/>
          <w:szCs w:val="24"/>
          <w:lang w:val="pt-PT"/>
        </w:rPr>
        <w:t>Consultas com pessoas afetadas pela hanseníase, seus familiares e suas organizações são fortemente encorajadas.</w:t>
      </w:r>
    </w:p>
    <w:p w14:paraId="6939B996" w14:textId="7BE765E6" w:rsidR="00CA4B4A" w:rsidRPr="00610C9F" w:rsidRDefault="00CA4B4A" w:rsidP="00CA4B4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160"/>
        <w:ind w:right="1134"/>
        <w:jc w:val="both"/>
        <w:rPr>
          <w:rFonts w:cstheme="minorHAnsi"/>
          <w:szCs w:val="24"/>
          <w:lang w:val="pt-PT"/>
        </w:rPr>
      </w:pPr>
      <w:r w:rsidRPr="00CA4B4A">
        <w:rPr>
          <w:rFonts w:cstheme="minorHAnsi"/>
          <w:szCs w:val="24"/>
          <w:lang w:val="pt-PT"/>
        </w:rPr>
        <w:t xml:space="preserve">As respostas devem ser precisas e ter entre 500-1500 palavras. </w:t>
      </w:r>
      <w:r w:rsidRPr="00610C9F">
        <w:rPr>
          <w:rFonts w:cstheme="minorHAnsi"/>
          <w:szCs w:val="24"/>
          <w:lang w:val="pt-PT"/>
        </w:rPr>
        <w:t>Documentos comprovativos podem ser anexados.</w:t>
      </w:r>
    </w:p>
    <w:p w14:paraId="6FE547DE" w14:textId="02EDD870" w:rsidR="00BF7C4A" w:rsidRPr="00CA4B4A" w:rsidRDefault="00CA4B4A" w:rsidP="00CA4B4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160"/>
        <w:ind w:right="1134"/>
        <w:jc w:val="both"/>
        <w:rPr>
          <w:rFonts w:cstheme="minorHAnsi"/>
          <w:szCs w:val="24"/>
          <w:lang w:val="pt-PT"/>
        </w:rPr>
      </w:pPr>
      <w:r w:rsidRPr="00CA4B4A">
        <w:rPr>
          <w:rFonts w:cstheme="minorHAnsi"/>
          <w:szCs w:val="24"/>
          <w:lang w:val="pt-PT"/>
        </w:rPr>
        <w:t xml:space="preserve">Envie o questionário preenchido eletronicamente para </w:t>
      </w:r>
      <w:hyperlink r:id="rId7" w:history="1">
        <w:r w:rsidR="00CD22AC" w:rsidRPr="00D3298A">
          <w:rPr>
            <w:rStyle w:val="Hyperlink"/>
            <w:rFonts w:cstheme="minorHAnsi"/>
            <w:szCs w:val="24"/>
            <w:lang w:val="pt-PT"/>
          </w:rPr>
          <w:t>ohchr-srleprosy@un.org</w:t>
        </w:r>
      </w:hyperlink>
      <w:r w:rsidR="00CD22AC">
        <w:rPr>
          <w:rFonts w:cstheme="minorHAnsi"/>
          <w:szCs w:val="24"/>
          <w:lang w:val="pt-PT"/>
        </w:rPr>
        <w:t xml:space="preserve"> </w:t>
      </w:r>
      <w:r w:rsidRPr="00CA4B4A">
        <w:rPr>
          <w:rFonts w:cstheme="minorHAnsi"/>
          <w:szCs w:val="24"/>
          <w:lang w:val="pt-PT"/>
        </w:rPr>
        <w:t>até 31 de dezembro de 2021, usando o título do e-mail: “</w:t>
      </w:r>
      <w:proofErr w:type="spellStart"/>
      <w:r w:rsidRPr="00CA4B4A">
        <w:rPr>
          <w:rFonts w:cstheme="minorHAnsi"/>
          <w:szCs w:val="24"/>
          <w:lang w:val="pt-PT"/>
        </w:rPr>
        <w:t>Submissions</w:t>
      </w:r>
      <w:proofErr w:type="spellEnd"/>
      <w:r w:rsidRPr="00CA4B4A">
        <w:rPr>
          <w:rFonts w:cstheme="minorHAnsi"/>
          <w:szCs w:val="24"/>
          <w:lang w:val="pt-PT"/>
        </w:rPr>
        <w:t xml:space="preserve"> to </w:t>
      </w:r>
      <w:proofErr w:type="spellStart"/>
      <w:r w:rsidRPr="00CA4B4A">
        <w:rPr>
          <w:rFonts w:cstheme="minorHAnsi"/>
          <w:szCs w:val="24"/>
          <w:lang w:val="pt-PT"/>
        </w:rPr>
        <w:t>the</w:t>
      </w:r>
      <w:proofErr w:type="spellEnd"/>
      <w:r w:rsidRPr="00CA4B4A">
        <w:rPr>
          <w:rFonts w:cstheme="minorHAnsi"/>
          <w:szCs w:val="24"/>
          <w:lang w:val="pt-PT"/>
        </w:rPr>
        <w:t xml:space="preserve"> </w:t>
      </w:r>
      <w:proofErr w:type="spellStart"/>
      <w:r w:rsidRPr="00CA4B4A">
        <w:rPr>
          <w:rFonts w:cstheme="minorHAnsi"/>
          <w:szCs w:val="24"/>
          <w:lang w:val="pt-PT"/>
        </w:rPr>
        <w:t>Questionnaire</w:t>
      </w:r>
      <w:proofErr w:type="spellEnd"/>
      <w:r w:rsidRPr="00CA4B4A">
        <w:rPr>
          <w:rFonts w:cstheme="minorHAnsi"/>
          <w:szCs w:val="24"/>
          <w:lang w:val="pt-PT"/>
        </w:rPr>
        <w:t xml:space="preserve"> 2021”.</w:t>
      </w:r>
    </w:p>
    <w:p w14:paraId="6F81A03C" w14:textId="77777777" w:rsidR="00BF7C4A" w:rsidRPr="00CA4B4A" w:rsidRDefault="00BF7C4A" w:rsidP="00BF7C4A">
      <w:pPr>
        <w:pStyle w:val="ListParagraph"/>
        <w:adjustRightInd w:val="0"/>
        <w:snapToGrid w:val="0"/>
        <w:ind w:left="1494" w:right="1134"/>
        <w:jc w:val="both"/>
        <w:rPr>
          <w:rFonts w:cstheme="minorHAnsi"/>
          <w:szCs w:val="24"/>
          <w:lang w:val="pt-PT"/>
        </w:rPr>
      </w:pPr>
    </w:p>
    <w:p w14:paraId="55BE9682" w14:textId="059C23BE" w:rsidR="00BF7C4A" w:rsidRPr="00CA4B4A" w:rsidRDefault="00CA4B4A" w:rsidP="00CA4B4A">
      <w:pPr>
        <w:pStyle w:val="ListParagraph"/>
        <w:numPr>
          <w:ilvl w:val="0"/>
          <w:numId w:val="2"/>
        </w:numPr>
        <w:adjustRightInd w:val="0"/>
        <w:snapToGrid w:val="0"/>
        <w:ind w:right="1134"/>
        <w:contextualSpacing w:val="0"/>
        <w:jc w:val="both"/>
        <w:rPr>
          <w:rFonts w:cstheme="minorHAnsi"/>
          <w:szCs w:val="24"/>
          <w:lang w:val="pt-PT"/>
        </w:rPr>
      </w:pPr>
      <w:r w:rsidRPr="00CA4B4A">
        <w:rPr>
          <w:rFonts w:cstheme="minorHAnsi"/>
          <w:szCs w:val="24"/>
          <w:lang w:val="pt-PT"/>
        </w:rPr>
        <w:t xml:space="preserve">Forneça informações sobre quaisquer programas e / ou estratégias nacionais de saúde para lidar com a hanseníase. Por favor, indique se está ou não integrado em outros programas nacionais de saúde; sobre sua implementação no sistema nacional de saúde; </w:t>
      </w:r>
      <w:r w:rsidR="00610C9F">
        <w:rPr>
          <w:rFonts w:cstheme="minorHAnsi"/>
          <w:szCs w:val="24"/>
          <w:lang w:val="pt-PT"/>
        </w:rPr>
        <w:t>sobre</w:t>
      </w:r>
      <w:r w:rsidRPr="00CA4B4A">
        <w:rPr>
          <w:rFonts w:cstheme="minorHAnsi"/>
          <w:szCs w:val="24"/>
          <w:lang w:val="pt-PT"/>
        </w:rPr>
        <w:t xml:space="preserve"> serviços de hanseníase nos níveis primário, secundário e terciário de atenção à saúde; e sistemas de referência específicos para questões médicas relacionadas à hanseníase.</w:t>
      </w:r>
    </w:p>
    <w:p w14:paraId="189F464A" w14:textId="44974917" w:rsidR="00610C9F" w:rsidRDefault="00CA4B4A" w:rsidP="00610C9F">
      <w:pPr>
        <w:pStyle w:val="ListParagraph"/>
        <w:numPr>
          <w:ilvl w:val="0"/>
          <w:numId w:val="2"/>
        </w:numPr>
        <w:adjustRightInd w:val="0"/>
        <w:snapToGrid w:val="0"/>
        <w:ind w:right="1134"/>
        <w:contextualSpacing w:val="0"/>
        <w:jc w:val="both"/>
        <w:rPr>
          <w:rFonts w:cstheme="minorHAnsi"/>
          <w:szCs w:val="24"/>
          <w:lang w:val="pt-PT"/>
        </w:rPr>
      </w:pPr>
      <w:r w:rsidRPr="00CA4B4A">
        <w:rPr>
          <w:rFonts w:cstheme="minorHAnsi"/>
          <w:szCs w:val="24"/>
          <w:lang w:val="pt-PT"/>
        </w:rPr>
        <w:t xml:space="preserve">Forneça informações sobre as medidas existentes que proporcionam a continuidade da assistência médica e psicossocial às pessoas afetadas pela hanseníase, incluindo, mas não se limitando a, </w:t>
      </w:r>
      <w:proofErr w:type="spellStart"/>
      <w:r w:rsidR="00610C9F">
        <w:rPr>
          <w:rFonts w:cstheme="minorHAnsi"/>
          <w:szCs w:val="24"/>
          <w:lang w:val="pt-PT"/>
        </w:rPr>
        <w:t>poliquimioterapia</w:t>
      </w:r>
      <w:proofErr w:type="spellEnd"/>
      <w:r w:rsidRPr="00CA4B4A">
        <w:rPr>
          <w:rFonts w:cstheme="minorHAnsi"/>
          <w:szCs w:val="24"/>
          <w:lang w:val="pt-PT"/>
        </w:rPr>
        <w:t>, tratamento de reações, atendimento psicológico, fisioterapia, terapia ocupacional, terapia de grupo, tratamento de feridas, cirurgia, fornecimento de dispositivos de assistência e reabilitação.</w:t>
      </w:r>
    </w:p>
    <w:p w14:paraId="1C81152A" w14:textId="51006E96" w:rsidR="00BF7C4A" w:rsidRPr="00610C9F" w:rsidRDefault="00CA4B4A" w:rsidP="00610C9F">
      <w:pPr>
        <w:pStyle w:val="ListParagraph"/>
        <w:numPr>
          <w:ilvl w:val="0"/>
          <w:numId w:val="2"/>
        </w:numPr>
        <w:adjustRightInd w:val="0"/>
        <w:snapToGrid w:val="0"/>
        <w:ind w:right="1134"/>
        <w:contextualSpacing w:val="0"/>
        <w:jc w:val="both"/>
        <w:rPr>
          <w:rFonts w:cstheme="minorHAnsi"/>
          <w:szCs w:val="24"/>
          <w:lang w:val="pt-PT"/>
        </w:rPr>
      </w:pPr>
      <w:r w:rsidRPr="00610C9F">
        <w:rPr>
          <w:rFonts w:cstheme="minorHAnsi"/>
          <w:szCs w:val="24"/>
          <w:lang w:val="pt-PT"/>
        </w:rPr>
        <w:t xml:space="preserve">Forneça informações sobre as medidas que proporcionam o treinamento e a capacitação de profissionais de saúde nos </w:t>
      </w:r>
      <w:proofErr w:type="spellStart"/>
      <w:r w:rsidRPr="00610C9F">
        <w:rPr>
          <w:rFonts w:cstheme="minorHAnsi"/>
          <w:szCs w:val="24"/>
          <w:lang w:val="pt-PT"/>
        </w:rPr>
        <w:t>aspectos</w:t>
      </w:r>
      <w:proofErr w:type="spellEnd"/>
      <w:r w:rsidRPr="00610C9F">
        <w:rPr>
          <w:rFonts w:cstheme="minorHAnsi"/>
          <w:szCs w:val="24"/>
          <w:lang w:val="pt-PT"/>
        </w:rPr>
        <w:t xml:space="preserve"> clínicos e socioeconômicos e culturais da hanseníase</w:t>
      </w:r>
    </w:p>
    <w:p w14:paraId="7DC9F643" w14:textId="77777777" w:rsidR="00610C9F" w:rsidRDefault="00CA4B4A" w:rsidP="00610C9F">
      <w:pPr>
        <w:pStyle w:val="ListParagraph"/>
        <w:numPr>
          <w:ilvl w:val="0"/>
          <w:numId w:val="2"/>
        </w:numPr>
        <w:adjustRightInd w:val="0"/>
        <w:snapToGrid w:val="0"/>
        <w:ind w:right="1134"/>
        <w:contextualSpacing w:val="0"/>
        <w:jc w:val="both"/>
        <w:rPr>
          <w:rFonts w:cstheme="minorHAnsi"/>
          <w:szCs w:val="24"/>
          <w:lang w:val="pt-PT"/>
        </w:rPr>
      </w:pPr>
      <w:r w:rsidRPr="00CA4B4A">
        <w:rPr>
          <w:rFonts w:cstheme="minorHAnsi"/>
          <w:szCs w:val="24"/>
          <w:lang w:val="pt-PT"/>
        </w:rPr>
        <w:t>Forneça informações sobre as medidas tomadas em seu país para implementar as “Diretrizes para fortalecer a participação das pessoas afetadas pela hanseníase nos serviços de hanseníase da Organização Mundial da Saúde</w:t>
      </w:r>
      <w:r w:rsidR="00BF7C4A" w:rsidRPr="00CA4B4A">
        <w:rPr>
          <w:rFonts w:cstheme="minorHAnsi"/>
          <w:szCs w:val="24"/>
          <w:lang w:val="pt-PT"/>
        </w:rPr>
        <w:t>.”</w:t>
      </w:r>
      <w:r w:rsidR="00BF7C4A">
        <w:rPr>
          <w:rStyle w:val="FootnoteReference"/>
          <w:rFonts w:cstheme="minorHAnsi"/>
          <w:szCs w:val="24"/>
        </w:rPr>
        <w:footnoteReference w:id="1"/>
      </w:r>
    </w:p>
    <w:p w14:paraId="6A702AF4" w14:textId="0932D2B4" w:rsidR="00BF7C4A" w:rsidRPr="00610C9F" w:rsidRDefault="00610C9F" w:rsidP="00610C9F">
      <w:pPr>
        <w:pStyle w:val="ListParagraph"/>
        <w:numPr>
          <w:ilvl w:val="0"/>
          <w:numId w:val="2"/>
        </w:numPr>
        <w:adjustRightInd w:val="0"/>
        <w:snapToGrid w:val="0"/>
        <w:ind w:right="1134"/>
        <w:contextualSpacing w:val="0"/>
        <w:jc w:val="both"/>
        <w:rPr>
          <w:rFonts w:cstheme="minorHAnsi"/>
          <w:szCs w:val="24"/>
          <w:lang w:val="pt-PT"/>
        </w:rPr>
      </w:pPr>
      <w:r w:rsidRPr="00610C9F">
        <w:rPr>
          <w:rFonts w:cstheme="minorHAnsi"/>
          <w:szCs w:val="24"/>
          <w:lang w:val="pt-PT"/>
        </w:rPr>
        <w:t>Forneça informações sobre as boas práticas realizadas em seu país para garantir o direito ao mais alto padrão possível de saúde física e mental para as pessoas afetadas pela hanseníase.</w:t>
      </w:r>
    </w:p>
    <w:p w14:paraId="6C2CB9F7" w14:textId="77777777" w:rsidR="00BF7C4A" w:rsidRPr="00610C9F" w:rsidRDefault="00BF7C4A" w:rsidP="00BF7C4A">
      <w:pPr>
        <w:pBdr>
          <w:top w:val="dotted" w:sz="4" w:space="1" w:color="auto"/>
        </w:pBdr>
        <w:adjustRightInd w:val="0"/>
        <w:snapToGrid w:val="0"/>
        <w:ind w:left="1134" w:right="1134"/>
        <w:jc w:val="both"/>
        <w:rPr>
          <w:rFonts w:cstheme="minorHAnsi"/>
          <w:i/>
          <w:iCs/>
          <w:color w:val="2E74B5" w:themeColor="accent5" w:themeShade="BF"/>
          <w:szCs w:val="24"/>
          <w:lang w:val="pt-PT"/>
        </w:rPr>
      </w:pPr>
    </w:p>
    <w:p w14:paraId="60863CEA" w14:textId="2FD096AF" w:rsidR="00BF7C4A" w:rsidRPr="00610C9F" w:rsidRDefault="00610C9F" w:rsidP="00BF7C4A">
      <w:pPr>
        <w:adjustRightInd w:val="0"/>
        <w:snapToGrid w:val="0"/>
        <w:ind w:left="1134" w:right="1134"/>
        <w:rPr>
          <w:rFonts w:cstheme="minorHAnsi"/>
          <w:color w:val="2E74B5" w:themeColor="accent5" w:themeShade="BF"/>
          <w:sz w:val="32"/>
          <w:szCs w:val="24"/>
          <w:lang w:val="pt-PT"/>
        </w:rPr>
      </w:pPr>
      <w:r w:rsidRPr="00610C9F">
        <w:rPr>
          <w:rFonts w:cstheme="minorHAnsi"/>
          <w:i/>
          <w:iCs/>
          <w:color w:val="2E74B5" w:themeColor="accent5" w:themeShade="BF"/>
          <w:szCs w:val="24"/>
          <w:lang w:val="pt-PT"/>
        </w:rPr>
        <w:t>Seu nome e informações de contato, incluindo endereço de</w:t>
      </w:r>
      <w:r>
        <w:rPr>
          <w:rFonts w:cstheme="minorHAnsi"/>
          <w:i/>
          <w:iCs/>
          <w:color w:val="2E74B5" w:themeColor="accent5" w:themeShade="BF"/>
          <w:szCs w:val="24"/>
          <w:lang w:val="pt-PT"/>
        </w:rPr>
        <w:t xml:space="preserve"> e- </w:t>
      </w:r>
      <w:r w:rsidRPr="00610C9F">
        <w:rPr>
          <w:rFonts w:cstheme="minorHAnsi"/>
          <w:i/>
          <w:iCs/>
          <w:color w:val="2E74B5" w:themeColor="accent5" w:themeShade="BF"/>
          <w:szCs w:val="24"/>
          <w:lang w:val="pt-PT"/>
        </w:rPr>
        <w:t>mail:</w:t>
      </w:r>
      <w:r w:rsidR="00BF7C4A" w:rsidRPr="00610C9F">
        <w:rPr>
          <w:rFonts w:cstheme="minorHAnsi"/>
          <w:color w:val="2E74B5" w:themeColor="accent5" w:themeShade="BF"/>
          <w:szCs w:val="24"/>
          <w:lang w:val="pt-PT"/>
        </w:rPr>
        <w:t>_____________________________________________________________________________</w:t>
      </w:r>
    </w:p>
    <w:p w14:paraId="18DBD63F" w14:textId="77777777" w:rsidR="00BF7C4A" w:rsidRDefault="00BF7C4A" w:rsidP="00BF7C4A">
      <w:pPr>
        <w:adjustRightInd w:val="0"/>
        <w:snapToGrid w:val="0"/>
        <w:ind w:left="1134" w:right="1134"/>
        <w:rPr>
          <w:rFonts w:cstheme="minorHAnsi"/>
          <w:color w:val="2E74B5" w:themeColor="accent5" w:themeShade="BF"/>
          <w:szCs w:val="24"/>
        </w:rPr>
      </w:pPr>
      <w:r w:rsidRPr="00DB4327">
        <w:rPr>
          <w:rFonts w:cstheme="minorHAnsi"/>
          <w:color w:val="2E74B5" w:themeColor="accent5" w:themeShade="BF"/>
          <w:szCs w:val="24"/>
        </w:rPr>
        <w:t>_____________________________________________________________________________</w:t>
      </w:r>
      <w:r>
        <w:rPr>
          <w:rFonts w:cstheme="minorHAnsi"/>
          <w:color w:val="2E74B5" w:themeColor="accent5" w:themeShade="BF"/>
          <w:szCs w:val="24"/>
        </w:rPr>
        <w:t xml:space="preserve"> </w:t>
      </w:r>
    </w:p>
    <w:p w14:paraId="44B6DE51" w14:textId="77777777" w:rsidR="00BF7C4A" w:rsidRPr="00DB4327" w:rsidRDefault="00BF7C4A" w:rsidP="00BF7C4A">
      <w:pPr>
        <w:adjustRightInd w:val="0"/>
        <w:snapToGrid w:val="0"/>
        <w:ind w:left="1134" w:right="1134"/>
        <w:rPr>
          <w:rFonts w:cstheme="minorHAnsi"/>
          <w:color w:val="2E74B5" w:themeColor="accent5" w:themeShade="BF"/>
          <w:sz w:val="32"/>
          <w:szCs w:val="24"/>
        </w:rPr>
      </w:pPr>
      <w:r w:rsidRPr="00DB4327">
        <w:rPr>
          <w:rFonts w:cstheme="minorHAnsi"/>
          <w:color w:val="2E74B5" w:themeColor="accent5" w:themeShade="BF"/>
          <w:szCs w:val="24"/>
        </w:rPr>
        <w:t>_____________________________________________________________________________</w:t>
      </w:r>
    </w:p>
    <w:p w14:paraId="367BA271" w14:textId="77777777" w:rsidR="00BF7C4A" w:rsidRPr="00DB4327" w:rsidRDefault="00BF7C4A" w:rsidP="00BF7C4A">
      <w:pPr>
        <w:adjustRightInd w:val="0"/>
        <w:snapToGrid w:val="0"/>
        <w:ind w:left="1134" w:right="1134"/>
        <w:rPr>
          <w:rFonts w:cstheme="minorHAnsi"/>
          <w:color w:val="2E74B5" w:themeColor="accent5" w:themeShade="BF"/>
          <w:sz w:val="32"/>
          <w:szCs w:val="24"/>
        </w:rPr>
      </w:pPr>
      <w:r w:rsidRPr="00DB4327">
        <w:rPr>
          <w:rFonts w:cstheme="minorHAnsi"/>
          <w:color w:val="2E74B5" w:themeColor="accent5" w:themeShade="BF"/>
          <w:szCs w:val="24"/>
        </w:rPr>
        <w:t>_____________________________________________________________________________</w:t>
      </w:r>
    </w:p>
    <w:p w14:paraId="40139ACC" w14:textId="77777777" w:rsidR="00BF7C4A" w:rsidRDefault="00BF7C4A" w:rsidP="00BF7C4A">
      <w:pPr>
        <w:adjustRightInd w:val="0"/>
        <w:snapToGrid w:val="0"/>
        <w:ind w:left="1134" w:right="1134"/>
        <w:rPr>
          <w:rFonts w:cstheme="minorHAnsi"/>
          <w:color w:val="2E74B5" w:themeColor="accent5" w:themeShade="BF"/>
          <w:szCs w:val="24"/>
        </w:rPr>
      </w:pPr>
    </w:p>
    <w:p w14:paraId="4B266478" w14:textId="0604E4DF" w:rsidR="00BF7C4A" w:rsidRPr="00610C9F" w:rsidRDefault="00610C9F" w:rsidP="00610C9F">
      <w:pPr>
        <w:adjustRightInd w:val="0"/>
        <w:snapToGrid w:val="0"/>
        <w:ind w:left="1134" w:right="1134"/>
        <w:rPr>
          <w:rFonts w:cstheme="minorHAnsi"/>
          <w:color w:val="2E74B5" w:themeColor="accent5" w:themeShade="BF"/>
          <w:szCs w:val="24"/>
          <w:lang w:val="pt-PT"/>
        </w:rPr>
      </w:pPr>
      <w:r w:rsidRPr="00610C9F">
        <w:rPr>
          <w:rFonts w:cstheme="minorHAnsi"/>
          <w:i/>
          <w:iCs/>
          <w:color w:val="2E74B5" w:themeColor="accent5" w:themeShade="BF"/>
          <w:szCs w:val="24"/>
          <w:lang w:val="pt-PT"/>
        </w:rPr>
        <w:t>Você dá consentimento para tornar sua resposta pública por meio das páginas do</w:t>
      </w:r>
      <w:r>
        <w:rPr>
          <w:rFonts w:cstheme="minorHAnsi"/>
          <w:i/>
          <w:iCs/>
          <w:color w:val="2E74B5" w:themeColor="accent5" w:themeShade="BF"/>
          <w:szCs w:val="24"/>
          <w:lang w:val="pt-PT"/>
        </w:rPr>
        <w:t xml:space="preserve"> ACNUDH</w:t>
      </w:r>
      <w:r w:rsidRPr="00610C9F">
        <w:rPr>
          <w:rFonts w:cstheme="minorHAnsi"/>
          <w:i/>
          <w:iCs/>
          <w:color w:val="2E74B5" w:themeColor="accent5" w:themeShade="BF"/>
          <w:szCs w:val="24"/>
          <w:lang w:val="pt-PT"/>
        </w:rPr>
        <w:t xml:space="preserve"> ou do relatório </w:t>
      </w:r>
      <w:r>
        <w:rPr>
          <w:rFonts w:cstheme="minorHAnsi"/>
          <w:i/>
          <w:iCs/>
          <w:color w:val="2E74B5" w:themeColor="accent5" w:themeShade="BF"/>
          <w:szCs w:val="24"/>
          <w:lang w:val="pt-PT"/>
        </w:rPr>
        <w:t>da</w:t>
      </w:r>
      <w:r w:rsidRPr="00610C9F">
        <w:rPr>
          <w:rFonts w:cstheme="minorHAnsi"/>
          <w:i/>
          <w:iCs/>
          <w:color w:val="2E74B5" w:themeColor="accent5" w:themeShade="BF"/>
          <w:szCs w:val="24"/>
          <w:lang w:val="pt-PT"/>
        </w:rPr>
        <w:t xml:space="preserve"> Relator</w:t>
      </w:r>
      <w:r>
        <w:rPr>
          <w:rFonts w:cstheme="minorHAnsi"/>
          <w:i/>
          <w:iCs/>
          <w:color w:val="2E74B5" w:themeColor="accent5" w:themeShade="BF"/>
          <w:szCs w:val="24"/>
          <w:lang w:val="pt-PT"/>
        </w:rPr>
        <w:t>a</w:t>
      </w:r>
      <w:r w:rsidRPr="00610C9F">
        <w:rPr>
          <w:rFonts w:cstheme="minorHAnsi"/>
          <w:i/>
          <w:iCs/>
          <w:color w:val="2E74B5" w:themeColor="accent5" w:themeShade="BF"/>
          <w:szCs w:val="24"/>
          <w:lang w:val="pt-PT"/>
        </w:rPr>
        <w:t xml:space="preserve"> Especial para o Conselho de Direitos Humanos</w:t>
      </w:r>
      <w:r w:rsidR="00BF7C4A" w:rsidRPr="00610C9F">
        <w:rPr>
          <w:rFonts w:cstheme="minorHAnsi"/>
          <w:i/>
          <w:iCs/>
          <w:color w:val="2E74B5" w:themeColor="accent5" w:themeShade="BF"/>
          <w:szCs w:val="24"/>
          <w:lang w:val="pt-PT"/>
        </w:rPr>
        <w:t>?</w:t>
      </w:r>
      <w:r w:rsidR="00BF7C4A" w:rsidRPr="00610C9F">
        <w:rPr>
          <w:rFonts w:cstheme="minorHAnsi"/>
          <w:color w:val="2E74B5" w:themeColor="accent5" w:themeShade="BF"/>
          <w:szCs w:val="24"/>
          <w:lang w:val="pt-PT"/>
        </w:rPr>
        <w:t xml:space="preserve"> </w:t>
      </w:r>
      <w:r>
        <w:rPr>
          <w:rFonts w:cstheme="minorHAnsi"/>
          <w:color w:val="2E74B5" w:themeColor="accent5" w:themeShade="BF"/>
          <w:szCs w:val="24"/>
          <w:lang w:val="pt-PT"/>
        </w:rPr>
        <w:t>Sim</w:t>
      </w:r>
      <w:r w:rsidR="00BF7C4A" w:rsidRPr="00610C9F">
        <w:rPr>
          <w:rFonts w:cstheme="minorHAnsi"/>
          <w:color w:val="2E74B5" w:themeColor="accent5" w:themeShade="BF"/>
          <w:szCs w:val="24"/>
          <w:lang w:val="pt-PT"/>
        </w:rPr>
        <w:t xml:space="preserve"> (     )</w:t>
      </w:r>
      <w:r w:rsidR="00BF7C4A" w:rsidRPr="00610C9F">
        <w:rPr>
          <w:rFonts w:cstheme="minorHAnsi"/>
          <w:color w:val="2E74B5" w:themeColor="accent5" w:themeShade="BF"/>
          <w:sz w:val="28"/>
          <w:szCs w:val="24"/>
          <w:lang w:val="pt-PT"/>
        </w:rPr>
        <w:t xml:space="preserve"> </w:t>
      </w:r>
      <w:r w:rsidR="00BF7C4A" w:rsidRPr="00610C9F">
        <w:rPr>
          <w:rFonts w:cstheme="minorHAnsi"/>
          <w:color w:val="2E74B5" w:themeColor="accent5" w:themeShade="BF"/>
          <w:szCs w:val="24"/>
          <w:lang w:val="pt-PT"/>
        </w:rPr>
        <w:t xml:space="preserve"> /  N</w:t>
      </w:r>
      <w:r>
        <w:rPr>
          <w:rFonts w:cstheme="minorHAnsi"/>
          <w:color w:val="2E74B5" w:themeColor="accent5" w:themeShade="BF"/>
          <w:szCs w:val="24"/>
          <w:lang w:val="pt-PT"/>
        </w:rPr>
        <w:t>ão</w:t>
      </w:r>
      <w:r w:rsidR="00BF7C4A" w:rsidRPr="00610C9F">
        <w:rPr>
          <w:rFonts w:cstheme="minorHAnsi"/>
          <w:color w:val="2E74B5" w:themeColor="accent5" w:themeShade="BF"/>
          <w:szCs w:val="24"/>
          <w:lang w:val="pt-PT"/>
        </w:rPr>
        <w:t xml:space="preserve">  (     )</w:t>
      </w:r>
      <w:r w:rsidR="00BF7C4A" w:rsidRPr="00610C9F">
        <w:rPr>
          <w:rFonts w:cstheme="minorHAnsi"/>
          <w:color w:val="2E74B5" w:themeColor="accent5" w:themeShade="BF"/>
          <w:sz w:val="28"/>
          <w:szCs w:val="24"/>
          <w:lang w:val="pt-PT"/>
        </w:rPr>
        <w:t xml:space="preserve"> </w:t>
      </w:r>
      <w:r w:rsidR="00BF7C4A" w:rsidRPr="00610C9F">
        <w:rPr>
          <w:rFonts w:cstheme="minorHAnsi"/>
          <w:color w:val="2E74B5" w:themeColor="accent5" w:themeShade="BF"/>
          <w:szCs w:val="24"/>
          <w:lang w:val="pt-PT"/>
        </w:rPr>
        <w:t xml:space="preserve"> </w:t>
      </w:r>
    </w:p>
    <w:p w14:paraId="1AE919B3" w14:textId="77777777" w:rsidR="00BF7C4A" w:rsidRPr="00610C9F" w:rsidRDefault="00BF7C4A" w:rsidP="00BF7C4A">
      <w:pPr>
        <w:tabs>
          <w:tab w:val="left" w:pos="5560"/>
        </w:tabs>
        <w:rPr>
          <w:sz w:val="22"/>
          <w:szCs w:val="22"/>
          <w:lang w:val="pt-PT"/>
        </w:rPr>
      </w:pPr>
    </w:p>
    <w:p w14:paraId="79841A1E" w14:textId="77777777" w:rsidR="004E4DFD" w:rsidRPr="00610C9F" w:rsidRDefault="004E4DFD">
      <w:pPr>
        <w:rPr>
          <w:lang w:val="pt-PT"/>
        </w:rPr>
      </w:pPr>
    </w:p>
    <w:sectPr w:rsidR="004E4DFD" w:rsidRPr="00610C9F" w:rsidSect="00F40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1781" w14:textId="77777777" w:rsidR="00FA52C0" w:rsidRDefault="00FA52C0" w:rsidP="00BF7C4A">
      <w:r>
        <w:separator/>
      </w:r>
    </w:p>
  </w:endnote>
  <w:endnote w:type="continuationSeparator" w:id="0">
    <w:p w14:paraId="55AFBA6D" w14:textId="77777777" w:rsidR="00FA52C0" w:rsidRDefault="00FA52C0" w:rsidP="00BF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1695" w14:textId="77777777" w:rsidR="00FA52C0" w:rsidRDefault="00FA52C0" w:rsidP="00BF7C4A">
      <w:r>
        <w:separator/>
      </w:r>
    </w:p>
  </w:footnote>
  <w:footnote w:type="continuationSeparator" w:id="0">
    <w:p w14:paraId="0EE1DC1E" w14:textId="77777777" w:rsidR="00FA52C0" w:rsidRDefault="00FA52C0" w:rsidP="00BF7C4A">
      <w:r>
        <w:continuationSeparator/>
      </w:r>
    </w:p>
  </w:footnote>
  <w:footnote w:id="1">
    <w:p w14:paraId="7B8BB427" w14:textId="77777777" w:rsidR="00BF7C4A" w:rsidRDefault="00BF7C4A" w:rsidP="00BF7C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6CE1">
        <w:rPr>
          <w:rFonts w:cstheme="minorHAnsi"/>
          <w:szCs w:val="24"/>
        </w:rPr>
        <w:t>https://apps.who.int/iris/bitstream/handle/10665/205169/B4726.pdf?sequence=1&amp;isAllowed=y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5919"/>
    <w:multiLevelType w:val="hybridMultilevel"/>
    <w:tmpl w:val="69E02970"/>
    <w:lvl w:ilvl="0" w:tplc="EDA6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4A"/>
    <w:rsid w:val="00007363"/>
    <w:rsid w:val="004E4DFD"/>
    <w:rsid w:val="00610C9F"/>
    <w:rsid w:val="009E7E73"/>
    <w:rsid w:val="00A7426E"/>
    <w:rsid w:val="00BF7C4A"/>
    <w:rsid w:val="00CA4B4A"/>
    <w:rsid w:val="00CD22AC"/>
    <w:rsid w:val="00F9418C"/>
    <w:rsid w:val="00FA52C0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3DFC"/>
  <w15:chartTrackingRefBased/>
  <w15:docId w15:val="{94649C59-9585-4FFE-9B6F-958B6B56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F7C4A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7C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7C4A"/>
    <w:rPr>
      <w:rFonts w:asciiTheme="minorHAnsi" w:eastAsiaTheme="minorEastAsia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C4A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chr-srleprosy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LLASAG FERNANDEZ</dc:creator>
  <cp:keywords/>
  <dc:description/>
  <cp:lastModifiedBy>RAUL LLASAG FERNANDEZ</cp:lastModifiedBy>
  <cp:revision>3</cp:revision>
  <dcterms:created xsi:type="dcterms:W3CDTF">2021-11-09T20:13:00Z</dcterms:created>
  <dcterms:modified xsi:type="dcterms:W3CDTF">2021-11-09T20:19:00Z</dcterms:modified>
</cp:coreProperties>
</file>